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9742" w14:textId="5441DE59" w:rsidR="00162A7D" w:rsidRDefault="0007224C">
      <w:r>
        <w:t>T. Howard Stone</w:t>
      </w:r>
    </w:p>
    <w:p w14:paraId="7DFBF1F7" w14:textId="457E97AD" w:rsidR="0007224C" w:rsidRDefault="0007224C"/>
    <w:p w14:paraId="6949E58E" w14:textId="77777777" w:rsidR="0007224C" w:rsidRPr="00ED6A10" w:rsidRDefault="0007224C" w:rsidP="0007224C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D6A10">
        <w:rPr>
          <w:rFonts w:ascii="Calibri" w:hAnsi="Calibri" w:cs="Calibri"/>
          <w:color w:val="000000"/>
          <w:sz w:val="24"/>
          <w:szCs w:val="24"/>
        </w:rPr>
        <w:t>Dr. Howard Stone</w:t>
      </w:r>
      <w:r>
        <w:rPr>
          <w:rFonts w:ascii="Calibri" w:hAnsi="Calibri" w:cs="Calibri"/>
          <w:color w:val="000000"/>
          <w:sz w:val="24"/>
          <w:szCs w:val="24"/>
        </w:rPr>
        <w:t xml:space="preserve"> is the</w:t>
      </w:r>
      <w:r w:rsidRPr="00ED6A10">
        <w:rPr>
          <w:rFonts w:ascii="Calibri" w:hAnsi="Calibri" w:cs="Calibri"/>
          <w:color w:val="000000"/>
          <w:sz w:val="24"/>
          <w:szCs w:val="24"/>
        </w:rPr>
        <w:t xml:space="preserve"> Director of FSU’s Office for Human Subjects Protection. </w:t>
      </w:r>
      <w:r>
        <w:rPr>
          <w:rFonts w:ascii="Calibri" w:hAnsi="Calibri" w:cs="Calibri"/>
          <w:color w:val="000000"/>
          <w:sz w:val="24"/>
          <w:szCs w:val="24"/>
        </w:rPr>
        <w:t>He</w:t>
      </w:r>
      <w:r w:rsidRPr="00ED6A10">
        <w:rPr>
          <w:rFonts w:ascii="Calibri" w:hAnsi="Calibri" w:cs="Calibri"/>
          <w:color w:val="000000"/>
          <w:sz w:val="24"/>
          <w:szCs w:val="24"/>
        </w:rPr>
        <w:t xml:space="preserve"> has served as Principal Investigator and Project Director on numerous federally-funded and other extramurally sponsored research ethics, human subjects protection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ED6A10">
        <w:rPr>
          <w:rFonts w:ascii="Calibri" w:hAnsi="Calibri" w:cs="Calibri"/>
          <w:color w:val="000000"/>
          <w:sz w:val="24"/>
          <w:szCs w:val="24"/>
        </w:rPr>
        <w:t xml:space="preserve"> and law-related research projects, and has published and presented extensively in the field.</w:t>
      </w:r>
    </w:p>
    <w:p w14:paraId="248DA6EF" w14:textId="77777777" w:rsidR="0007224C" w:rsidRDefault="0007224C"/>
    <w:sectPr w:rsidR="00072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4C"/>
    <w:rsid w:val="0007224C"/>
    <w:rsid w:val="001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038B"/>
  <w15:chartTrackingRefBased/>
  <w15:docId w15:val="{EE0F1447-D5CD-4010-840B-3502F74B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Key</dc:creator>
  <cp:keywords/>
  <dc:description/>
  <cp:lastModifiedBy>Diana Key</cp:lastModifiedBy>
  <cp:revision>1</cp:revision>
  <dcterms:created xsi:type="dcterms:W3CDTF">2023-02-01T15:36:00Z</dcterms:created>
  <dcterms:modified xsi:type="dcterms:W3CDTF">2023-02-01T15:36:00Z</dcterms:modified>
</cp:coreProperties>
</file>