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11ABB" w14:textId="77777777" w:rsidR="002F029A" w:rsidRDefault="00B36482" w:rsidP="00B36482">
      <w:pPr>
        <w:pStyle w:val="NoSpacing"/>
        <w:jc w:val="center"/>
      </w:pPr>
      <w:r>
        <w:t>A Scientific Study of Science:</w:t>
      </w:r>
    </w:p>
    <w:p w14:paraId="567B3FDD" w14:textId="77777777" w:rsidR="00B36482" w:rsidRDefault="00B36482" w:rsidP="00B36482">
      <w:pPr>
        <w:pStyle w:val="NoSpacing"/>
        <w:jc w:val="center"/>
      </w:pPr>
      <w:r>
        <w:t xml:space="preserve">A Research Proposal to </w:t>
      </w:r>
      <w:r w:rsidR="00AA2013">
        <w:t xml:space="preserve">the </w:t>
      </w:r>
      <w:r>
        <w:t>Federal Science Agency</w:t>
      </w:r>
    </w:p>
    <w:p w14:paraId="514DE982" w14:textId="77777777" w:rsidR="00AA2013" w:rsidRDefault="00AA2013" w:rsidP="00AA2013">
      <w:pPr>
        <w:pStyle w:val="NoSpacing"/>
      </w:pPr>
    </w:p>
    <w:p w14:paraId="35041378" w14:textId="77777777" w:rsidR="00B36482" w:rsidRDefault="00B36482" w:rsidP="00B36482">
      <w:pPr>
        <w:pStyle w:val="NoSpacing"/>
        <w:jc w:val="center"/>
      </w:pPr>
      <w:r>
        <w:t>Budget Justification</w:t>
      </w:r>
    </w:p>
    <w:p w14:paraId="786BA401" w14:textId="77777777" w:rsidR="00B36482" w:rsidRDefault="00B36482" w:rsidP="00B36482">
      <w:pPr>
        <w:pStyle w:val="NoSpacing"/>
        <w:jc w:val="center"/>
      </w:pPr>
    </w:p>
    <w:p w14:paraId="547FAA28" w14:textId="0A665574" w:rsidR="00B36482" w:rsidRDefault="00AA2013" w:rsidP="00B36482">
      <w:pPr>
        <w:pStyle w:val="NoSpacing"/>
        <w:rPr>
          <w:b/>
        </w:rPr>
      </w:pPr>
      <w:r>
        <w:rPr>
          <w:b/>
        </w:rPr>
        <w:t>Salary</w:t>
      </w:r>
      <w:r w:rsidR="00153137">
        <w:rPr>
          <w:b/>
        </w:rPr>
        <w:t xml:space="preserve"> and Fringe Benefits</w:t>
      </w:r>
    </w:p>
    <w:p w14:paraId="42C525DE" w14:textId="77777777" w:rsidR="00C25533" w:rsidRDefault="00C25533" w:rsidP="00B36482">
      <w:pPr>
        <w:pStyle w:val="NoSpacing"/>
      </w:pPr>
    </w:p>
    <w:p w14:paraId="65D192B4" w14:textId="33F5EEC4" w:rsidR="00C25533" w:rsidRDefault="00C25533" w:rsidP="00B36482">
      <w:pPr>
        <w:pStyle w:val="NoSpacing"/>
      </w:pPr>
      <w:r>
        <w:t>Senior Personnel:</w:t>
      </w:r>
    </w:p>
    <w:p w14:paraId="204A84B3" w14:textId="77777777" w:rsidR="00C25533" w:rsidRDefault="00C25533" w:rsidP="00B36482">
      <w:pPr>
        <w:pStyle w:val="NoSpacing"/>
      </w:pPr>
    </w:p>
    <w:p w14:paraId="40AF9AAC" w14:textId="65BF7256" w:rsidR="00AA2013" w:rsidRDefault="00AA2013" w:rsidP="00B36482">
      <w:pPr>
        <w:pStyle w:val="NoSpacing"/>
      </w:pPr>
      <w:r>
        <w:t xml:space="preserve">PI: Dr. Sam E. </w:t>
      </w:r>
      <w:proofErr w:type="spellStart"/>
      <w:r>
        <w:t>Nole</w:t>
      </w:r>
      <w:proofErr w:type="spellEnd"/>
      <w:r>
        <w:t xml:space="preserve"> is an expert in researching science. He will manage the project and supervise all project personnel. </w:t>
      </w:r>
      <w:r w:rsidR="00153137">
        <w:t xml:space="preserve">He has a 9-month appointment with a salary of $100,000. </w:t>
      </w:r>
      <w:r>
        <w:t>He will devote 10% of his summer effort to the project</w:t>
      </w:r>
      <w:r w:rsidR="00C25533">
        <w:t xml:space="preserve"> each year of the three-year project</w:t>
      </w:r>
      <w:r w:rsidR="005E6CD5">
        <w:t xml:space="preserve"> beginning August 1, 2015</w:t>
      </w:r>
      <w:r>
        <w:t>.</w:t>
      </w:r>
      <w:r w:rsidR="00C25533">
        <w:t xml:space="preserve"> A cost of living increase of three-percent is included in Years 2 and 3.</w:t>
      </w:r>
      <w:r>
        <w:t xml:space="preserve"> </w:t>
      </w:r>
      <w:r w:rsidR="00153137">
        <w:t>Fringe benefits are budgeted according to university policy. He is under the FRS retirement plan.</w:t>
      </w:r>
    </w:p>
    <w:p w14:paraId="2BCD7FAB" w14:textId="77777777" w:rsidR="00AA2013" w:rsidRDefault="00AA2013" w:rsidP="00B36482">
      <w:pPr>
        <w:pStyle w:val="NoSpacing"/>
      </w:pPr>
    </w:p>
    <w:p w14:paraId="05A78C08" w14:textId="7C923E4E" w:rsidR="00AA2013" w:rsidRDefault="00AA2013" w:rsidP="00B36482">
      <w:pPr>
        <w:pStyle w:val="NoSpacing"/>
      </w:pPr>
      <w:r>
        <w:t xml:space="preserve">Co-PI: Dr. Ren E. </w:t>
      </w:r>
      <w:proofErr w:type="spellStart"/>
      <w:r>
        <w:t>Gade</w:t>
      </w:r>
      <w:proofErr w:type="spellEnd"/>
      <w:r>
        <w:t xml:space="preserve"> is an expert </w:t>
      </w:r>
      <w:r w:rsidR="00A66D0D">
        <w:t>in researching a particular aspect</w:t>
      </w:r>
      <w:r>
        <w:t xml:space="preserve"> of science that greatly benefits the project. </w:t>
      </w:r>
      <w:r w:rsidR="00153137">
        <w:t>She has a 12-month appointment with a salary of $75,000. She will devote 25% of her annual effort to the project</w:t>
      </w:r>
      <w:r w:rsidR="00C25533">
        <w:t xml:space="preserve"> each year of the three-year project</w:t>
      </w:r>
      <w:r w:rsidR="005E6CD5">
        <w:t xml:space="preserve"> beginning August 1, 2015</w:t>
      </w:r>
      <w:r w:rsidR="00C25533">
        <w:t>. A cost of living increase of three-percent is included in Years 2 and 3</w:t>
      </w:r>
      <w:r w:rsidR="00153137">
        <w:t xml:space="preserve">. Fringe benefits are budgeted according to university policy. She is under the ORP retirement plan and has family health insurance coverage. </w:t>
      </w:r>
    </w:p>
    <w:p w14:paraId="7CD593D7" w14:textId="77777777" w:rsidR="00C25533" w:rsidRDefault="00C25533" w:rsidP="00B36482">
      <w:pPr>
        <w:pStyle w:val="NoSpacing"/>
      </w:pPr>
    </w:p>
    <w:p w14:paraId="2895999D" w14:textId="53F86515" w:rsidR="00C25533" w:rsidRDefault="00C25533" w:rsidP="00B36482">
      <w:pPr>
        <w:pStyle w:val="NoSpacing"/>
      </w:pPr>
      <w:r>
        <w:t>Other Personnel:</w:t>
      </w:r>
    </w:p>
    <w:p w14:paraId="0E32F547" w14:textId="77777777" w:rsidR="00C25533" w:rsidRDefault="00C25533" w:rsidP="00B36482">
      <w:pPr>
        <w:pStyle w:val="NoSpacing"/>
      </w:pPr>
    </w:p>
    <w:p w14:paraId="43DB805E" w14:textId="38BA55F6" w:rsidR="00703162" w:rsidRDefault="00C25533" w:rsidP="00B36482">
      <w:pPr>
        <w:pStyle w:val="NoSpacing"/>
      </w:pPr>
      <w:r>
        <w:t>Post-Doc: A post-doc will be hired to run and manage the day-to-day aspects of</w:t>
      </w:r>
      <w:r w:rsidR="008E53AF">
        <w:t xml:space="preserve"> the project. His/her annual salary will be </w:t>
      </w:r>
      <w:r>
        <w:t xml:space="preserve">$50,000 and </w:t>
      </w:r>
      <w:r w:rsidR="008E53AF">
        <w:t>s/he</w:t>
      </w:r>
      <w:r w:rsidR="00B14396">
        <w:t xml:space="preserve"> </w:t>
      </w:r>
      <w:r>
        <w:t xml:space="preserve">will commit 100% of his/her </w:t>
      </w:r>
      <w:r w:rsidR="003725B0">
        <w:t xml:space="preserve">annual </w:t>
      </w:r>
      <w:r>
        <w:t>effort to the project each year of the three-year project</w:t>
      </w:r>
      <w:r w:rsidR="00480D44">
        <w:t xml:space="preserve"> beginning August 1, 2015</w:t>
      </w:r>
      <w:r>
        <w:t>. A cost of living increase of three-percent is included in Years 2 and 3. The appropriate post-doc fringe benefits are included per FSU policy. Family health insurance is budgeted.</w:t>
      </w:r>
    </w:p>
    <w:p w14:paraId="4644C5FD" w14:textId="77777777" w:rsidR="00703162" w:rsidRDefault="00703162" w:rsidP="00B36482">
      <w:pPr>
        <w:pStyle w:val="NoSpacing"/>
      </w:pPr>
    </w:p>
    <w:p w14:paraId="7B4AAA9F" w14:textId="29C0B6DE" w:rsidR="00C25533" w:rsidRDefault="00A146BD" w:rsidP="00B36482">
      <w:pPr>
        <w:pStyle w:val="NoSpacing"/>
      </w:pPr>
      <w:r>
        <w:t>Grad students: Two grad</w:t>
      </w:r>
      <w:r w:rsidR="00703162">
        <w:t xml:space="preserve"> students will be hired to assist the post-doc and senior personnel. </w:t>
      </w:r>
      <w:r w:rsidR="009F1769">
        <w:t xml:space="preserve">The grad students’ annual salary is $25,000. </w:t>
      </w:r>
      <w:r>
        <w:t xml:space="preserve">The grad students will </w:t>
      </w:r>
      <w:r w:rsidR="003725B0">
        <w:t>devote 50% of their annual effort to the project</w:t>
      </w:r>
      <w:r w:rsidR="00CD58EC">
        <w:t xml:space="preserve"> each year of the three-year project</w:t>
      </w:r>
      <w:r w:rsidR="003D7D8F">
        <w:t xml:space="preserve"> beginning August 1, 2015</w:t>
      </w:r>
      <w:r w:rsidR="00CD58EC">
        <w:t xml:space="preserve">. 50% effort is </w:t>
      </w:r>
      <w:r w:rsidR="003725B0">
        <w:t xml:space="preserve">a full-time appointment per university policy. </w:t>
      </w:r>
      <w:r w:rsidR="00C439A8">
        <w:t>The university-required grad student health insurance subsidy is included in the fringe benefits.</w:t>
      </w:r>
    </w:p>
    <w:p w14:paraId="311DE20E" w14:textId="77777777" w:rsidR="00C439A8" w:rsidRDefault="00C439A8" w:rsidP="00B36482">
      <w:pPr>
        <w:pStyle w:val="NoSpacing"/>
      </w:pPr>
    </w:p>
    <w:p w14:paraId="662B2E25" w14:textId="15304E24" w:rsidR="00C439A8" w:rsidRDefault="00D665A9" w:rsidP="00B36482">
      <w:pPr>
        <w:pStyle w:val="NoSpacing"/>
        <w:rPr>
          <w:b/>
        </w:rPr>
      </w:pPr>
      <w:r>
        <w:rPr>
          <w:b/>
        </w:rPr>
        <w:t>Equipment</w:t>
      </w:r>
    </w:p>
    <w:p w14:paraId="559A22A7" w14:textId="77777777" w:rsidR="00D665A9" w:rsidRDefault="00D665A9" w:rsidP="00B36482">
      <w:pPr>
        <w:pStyle w:val="NoSpacing"/>
        <w:rPr>
          <w:b/>
        </w:rPr>
      </w:pPr>
    </w:p>
    <w:p w14:paraId="79327D03" w14:textId="6CFC4894" w:rsidR="00D665A9" w:rsidRDefault="00D665A9" w:rsidP="00B36482">
      <w:pPr>
        <w:pStyle w:val="NoSpacing"/>
      </w:pPr>
      <w:r>
        <w:t>The project requires the purchase of a Science Machine in order to accurately perform the research. The standard cost for such a machine is $10,000</w:t>
      </w:r>
      <w:r w:rsidR="00177DA1">
        <w:t xml:space="preserve"> and is budgeted in Year 1</w:t>
      </w:r>
      <w:r>
        <w:t>.</w:t>
      </w:r>
    </w:p>
    <w:p w14:paraId="649EE94A" w14:textId="77777777" w:rsidR="00D665A9" w:rsidRDefault="00D665A9" w:rsidP="00B36482">
      <w:pPr>
        <w:pStyle w:val="NoSpacing"/>
      </w:pPr>
    </w:p>
    <w:p w14:paraId="2E861ADE" w14:textId="69C174B0" w:rsidR="00D665A9" w:rsidRDefault="00D665A9" w:rsidP="00B36482">
      <w:pPr>
        <w:pStyle w:val="NoSpacing"/>
      </w:pPr>
      <w:r>
        <w:rPr>
          <w:b/>
        </w:rPr>
        <w:t>Travel</w:t>
      </w:r>
    </w:p>
    <w:p w14:paraId="3DA66D10" w14:textId="77777777" w:rsidR="00D665A9" w:rsidRDefault="00D665A9" w:rsidP="00B36482">
      <w:pPr>
        <w:pStyle w:val="NoSpacing"/>
      </w:pPr>
    </w:p>
    <w:p w14:paraId="6FED75CB" w14:textId="77777777" w:rsidR="00BE6957" w:rsidRDefault="00D665A9" w:rsidP="00B36482">
      <w:pPr>
        <w:pStyle w:val="NoSpacing"/>
      </w:pPr>
      <w:r>
        <w:t xml:space="preserve">Domestic: </w:t>
      </w:r>
    </w:p>
    <w:p w14:paraId="34B2D295" w14:textId="03CCDE1E" w:rsidR="00D665A9" w:rsidRDefault="00D665A9" w:rsidP="00B36482">
      <w:pPr>
        <w:pStyle w:val="NoSpacing"/>
      </w:pPr>
      <w:r>
        <w:lastRenderedPageBreak/>
        <w:t xml:space="preserve">Travel for two people to one domestic scientific conference in both Years 2 and 3 </w:t>
      </w:r>
      <w:proofErr w:type="gramStart"/>
      <w:r>
        <w:t>is</w:t>
      </w:r>
      <w:proofErr w:type="gramEnd"/>
      <w:r>
        <w:t xml:space="preserve"> budgeted as follows: </w:t>
      </w:r>
    </w:p>
    <w:p w14:paraId="5594D83B" w14:textId="3BF7A2D7" w:rsidR="00D665A9" w:rsidRDefault="00D665A9" w:rsidP="00B36482">
      <w:pPr>
        <w:pStyle w:val="NoSpacing"/>
      </w:pPr>
      <w:r>
        <w:tab/>
        <w:t>Regist</w:t>
      </w:r>
      <w:r w:rsidR="00EA18E6">
        <w:t>ration: $500 per person per conference</w:t>
      </w:r>
    </w:p>
    <w:p w14:paraId="6B5A08A5" w14:textId="5FA6B6C6" w:rsidR="00D665A9" w:rsidRDefault="00D665A9" w:rsidP="00B36482">
      <w:pPr>
        <w:pStyle w:val="NoSpacing"/>
      </w:pPr>
      <w:r>
        <w:tab/>
        <w:t>Lodging: $150 per night (estimated 3 nights each)</w:t>
      </w:r>
    </w:p>
    <w:p w14:paraId="4A5FFE2C" w14:textId="4304DE13" w:rsidR="00D665A9" w:rsidRDefault="00D665A9" w:rsidP="00B36482">
      <w:pPr>
        <w:pStyle w:val="NoSpacing"/>
      </w:pPr>
      <w:r>
        <w:tab/>
        <w:t>Transportation: $500 per person per trip</w:t>
      </w:r>
    </w:p>
    <w:p w14:paraId="262EF52A" w14:textId="728004AD" w:rsidR="00EA18E6" w:rsidRDefault="00EA18E6" w:rsidP="00B36482">
      <w:pPr>
        <w:pStyle w:val="NoSpacing"/>
      </w:pPr>
      <w:r>
        <w:tab/>
        <w:t>Meals: $36 per day (estimated 4 days)</w:t>
      </w:r>
    </w:p>
    <w:p w14:paraId="68856EA7" w14:textId="61F2E9B0" w:rsidR="00D665A9" w:rsidRDefault="00D665A9" w:rsidP="00B36482">
      <w:pPr>
        <w:pStyle w:val="NoSpacing"/>
      </w:pPr>
      <w:r>
        <w:tab/>
        <w:t>Miscellaneous (taxi and other incidentals): $100 per person per trip</w:t>
      </w:r>
    </w:p>
    <w:p w14:paraId="6571D1A1" w14:textId="77777777" w:rsidR="00BE6957" w:rsidRDefault="00BE6957" w:rsidP="00B36482">
      <w:pPr>
        <w:pStyle w:val="NoSpacing"/>
      </w:pPr>
    </w:p>
    <w:p w14:paraId="5A83F82F" w14:textId="6F4163C7" w:rsidR="00BE6957" w:rsidRDefault="00BE6957" w:rsidP="00B36482">
      <w:pPr>
        <w:pStyle w:val="NoSpacing"/>
      </w:pPr>
      <w:r>
        <w:t>Travel to</w:t>
      </w:r>
      <w:r w:rsidR="00546598">
        <w:t xml:space="preserve"> work in person with subaward</w:t>
      </w:r>
      <w:r>
        <w:t xml:space="preserve"> personnel, based on two travelers and two trips per year for two nights each:</w:t>
      </w:r>
    </w:p>
    <w:p w14:paraId="6CD7248B" w14:textId="57B65AE9" w:rsidR="00BE6957" w:rsidRDefault="00BE6957" w:rsidP="00B36482">
      <w:pPr>
        <w:pStyle w:val="NoSpacing"/>
      </w:pPr>
      <w:r>
        <w:tab/>
        <w:t>Lodging: $100 per night</w:t>
      </w:r>
    </w:p>
    <w:p w14:paraId="78240B16" w14:textId="03467F13" w:rsidR="00D70427" w:rsidRDefault="00D70427" w:rsidP="00B36482">
      <w:pPr>
        <w:pStyle w:val="NoSpacing"/>
      </w:pPr>
      <w:r>
        <w:tab/>
        <w:t>Transportation: $</w:t>
      </w:r>
      <w:r w:rsidR="00F56364">
        <w:t>45</w:t>
      </w:r>
      <w:r w:rsidR="00091940">
        <w:t xml:space="preserve"> per person per trip (based on 100 miles</w:t>
      </w:r>
      <w:r w:rsidR="00FF442F">
        <w:t xml:space="preserve"> roundtrip</w:t>
      </w:r>
      <w:r w:rsidR="00091940">
        <w:t xml:space="preserve"> at $0.445)</w:t>
      </w:r>
    </w:p>
    <w:p w14:paraId="4529D7F3" w14:textId="714E5F6A" w:rsidR="00817EE7" w:rsidRDefault="00817EE7" w:rsidP="00B36482">
      <w:pPr>
        <w:pStyle w:val="NoSpacing"/>
      </w:pPr>
      <w:r>
        <w:tab/>
        <w:t>Meals: $36 per day (based on 3 days)</w:t>
      </w:r>
    </w:p>
    <w:p w14:paraId="68E2AC87" w14:textId="317421AD" w:rsidR="00F56364" w:rsidRDefault="00F56364" w:rsidP="00B36482">
      <w:pPr>
        <w:pStyle w:val="NoSpacing"/>
      </w:pPr>
      <w:r>
        <w:tab/>
        <w:t>Miscellaneous</w:t>
      </w:r>
      <w:r w:rsidR="009F5038">
        <w:t xml:space="preserve"> (taxi and other incidentals)</w:t>
      </w:r>
      <w:r>
        <w:t>: $50 per person per trip</w:t>
      </w:r>
    </w:p>
    <w:p w14:paraId="3EFBE9CB" w14:textId="755C16C6" w:rsidR="00D665A9" w:rsidRDefault="00BE6957" w:rsidP="00B36482">
      <w:pPr>
        <w:pStyle w:val="NoSpacing"/>
      </w:pPr>
      <w:r>
        <w:tab/>
      </w:r>
    </w:p>
    <w:p w14:paraId="6144D6F4" w14:textId="395A9B47" w:rsidR="00D665A9" w:rsidRDefault="00D665A9" w:rsidP="00B36482">
      <w:pPr>
        <w:pStyle w:val="NoSpacing"/>
      </w:pPr>
      <w:r>
        <w:t>International: Travel for one person in Years 2 and 3</w:t>
      </w:r>
      <w:r w:rsidR="00FA1552">
        <w:t xml:space="preserve"> to an international sc</w:t>
      </w:r>
      <w:r w:rsidR="00F00966">
        <w:t>ientific conference is budgeted.</w:t>
      </w:r>
    </w:p>
    <w:p w14:paraId="14631CF5" w14:textId="5706B424" w:rsidR="00F00966" w:rsidRDefault="00F00966" w:rsidP="00B36482">
      <w:pPr>
        <w:pStyle w:val="NoSpacing"/>
      </w:pPr>
      <w:r>
        <w:tab/>
      </w:r>
      <w:r w:rsidR="00EA18E6">
        <w:t>Registration: $750 per conference</w:t>
      </w:r>
    </w:p>
    <w:p w14:paraId="3440586F" w14:textId="42214BCD" w:rsidR="00EA18E6" w:rsidRDefault="00EA18E6" w:rsidP="00B36482">
      <w:pPr>
        <w:pStyle w:val="NoSpacing"/>
      </w:pPr>
      <w:r>
        <w:tab/>
        <w:t>Lodging: $150 per night (estimated 4 nights each)</w:t>
      </w:r>
    </w:p>
    <w:p w14:paraId="1265C0C1" w14:textId="76A6112A" w:rsidR="00EA18E6" w:rsidRDefault="00EA18E6" w:rsidP="00B36482">
      <w:pPr>
        <w:pStyle w:val="NoSpacing"/>
      </w:pPr>
      <w:r>
        <w:tab/>
      </w:r>
      <w:r w:rsidR="00D13F70">
        <w:t>Transportation: $750 per trip</w:t>
      </w:r>
    </w:p>
    <w:p w14:paraId="5DC200D0" w14:textId="5BED5DC9" w:rsidR="00D13F70" w:rsidRDefault="00D13F70" w:rsidP="00B36482">
      <w:pPr>
        <w:pStyle w:val="NoSpacing"/>
      </w:pPr>
      <w:r>
        <w:tab/>
        <w:t>Meals: $36 per day (estimated 5 days)</w:t>
      </w:r>
    </w:p>
    <w:p w14:paraId="0B4AEEED" w14:textId="54BCB7B0" w:rsidR="00555E0B" w:rsidRDefault="00555E0B" w:rsidP="00B36482">
      <w:pPr>
        <w:pStyle w:val="NoSpacing"/>
      </w:pPr>
      <w:r>
        <w:tab/>
        <w:t>Miscellaneous (taxi and other incidentals): $100 per trip</w:t>
      </w:r>
    </w:p>
    <w:p w14:paraId="5A57E276" w14:textId="77777777" w:rsidR="00DE7AE4" w:rsidRDefault="00DE7AE4" w:rsidP="00B36482">
      <w:pPr>
        <w:pStyle w:val="NoSpacing"/>
      </w:pPr>
    </w:p>
    <w:p w14:paraId="57868E78" w14:textId="0DC8AC34" w:rsidR="00DE7AE4" w:rsidRDefault="00DE7AE4" w:rsidP="00B36482">
      <w:pPr>
        <w:pStyle w:val="NoSpacing"/>
      </w:pPr>
      <w:r>
        <w:rPr>
          <w:b/>
        </w:rPr>
        <w:t>Tuition</w:t>
      </w:r>
    </w:p>
    <w:p w14:paraId="7558A281" w14:textId="77777777" w:rsidR="009B58AC" w:rsidRDefault="009B58AC" w:rsidP="00B36482">
      <w:pPr>
        <w:pStyle w:val="NoSpacing"/>
      </w:pPr>
    </w:p>
    <w:p w14:paraId="6682F139" w14:textId="486D0999" w:rsidR="00DE7AE4" w:rsidRPr="00DE7AE4" w:rsidRDefault="00DE7AE4" w:rsidP="00B36482">
      <w:pPr>
        <w:pStyle w:val="NoSpacing"/>
      </w:pPr>
      <w:r>
        <w:t xml:space="preserve">Per university policy, 27 hours per year (9 hours per semester) of tuition is budgeted for each graduate student. A projected increase of 7.5% per year is included. </w:t>
      </w:r>
    </w:p>
    <w:p w14:paraId="601481E9" w14:textId="77777777" w:rsidR="00DE7AE4" w:rsidRDefault="00DE7AE4" w:rsidP="00B36482">
      <w:pPr>
        <w:pStyle w:val="NoSpacing"/>
        <w:rPr>
          <w:b/>
        </w:rPr>
      </w:pPr>
    </w:p>
    <w:p w14:paraId="7897C086" w14:textId="70C1D7F4" w:rsidR="00DE7AE4" w:rsidRDefault="00DE7AE4" w:rsidP="00B36482">
      <w:pPr>
        <w:pStyle w:val="NoSpacing"/>
        <w:rPr>
          <w:b/>
        </w:rPr>
      </w:pPr>
      <w:r>
        <w:rPr>
          <w:b/>
        </w:rPr>
        <w:t>Supplies</w:t>
      </w:r>
    </w:p>
    <w:p w14:paraId="645F2818" w14:textId="77777777" w:rsidR="009B58AC" w:rsidRDefault="009B58AC" w:rsidP="00B36482">
      <w:pPr>
        <w:pStyle w:val="NoSpacing"/>
        <w:rPr>
          <w:b/>
        </w:rPr>
      </w:pPr>
    </w:p>
    <w:p w14:paraId="3F202C0C" w14:textId="6A5DA539" w:rsidR="00805F28" w:rsidRDefault="009B58AC" w:rsidP="00B36482">
      <w:pPr>
        <w:pStyle w:val="NoSpacing"/>
      </w:pPr>
      <w:r>
        <w:t xml:space="preserve">Science supplies are required </w:t>
      </w:r>
      <w:r w:rsidR="00805F28">
        <w:t xml:space="preserve">each year of </w:t>
      </w:r>
      <w:r>
        <w:t xml:space="preserve">this project. This includes </w:t>
      </w:r>
      <w:r w:rsidR="00805F28">
        <w:t>the following –</w:t>
      </w:r>
    </w:p>
    <w:p w14:paraId="3BE21A65" w14:textId="36503FB0" w:rsidR="00805F28" w:rsidRDefault="00805F28" w:rsidP="00805F28">
      <w:pPr>
        <w:pStyle w:val="NoSpacing"/>
        <w:ind w:firstLine="720"/>
      </w:pPr>
      <w:r>
        <w:t xml:space="preserve">Petri dishes: </w:t>
      </w:r>
      <w:r w:rsidR="00B14396">
        <w:t>$10</w:t>
      </w:r>
      <w:r>
        <w:t>0</w:t>
      </w:r>
    </w:p>
    <w:p w14:paraId="31921D07" w14:textId="2DE0C16D" w:rsidR="009B58AC" w:rsidRDefault="00805F28" w:rsidP="00805F28">
      <w:pPr>
        <w:pStyle w:val="NoSpacing"/>
        <w:ind w:firstLine="720"/>
      </w:pPr>
      <w:r>
        <w:t xml:space="preserve">Tubes </w:t>
      </w:r>
      <w:r w:rsidR="00B14396">
        <w:t>$5</w:t>
      </w:r>
      <w:r>
        <w:t>0</w:t>
      </w:r>
    </w:p>
    <w:p w14:paraId="6D89805A" w14:textId="39B7F81D" w:rsidR="00B14396" w:rsidRDefault="00B14396" w:rsidP="00805F28">
      <w:pPr>
        <w:pStyle w:val="NoSpacing"/>
        <w:ind w:firstLine="720"/>
      </w:pPr>
      <w:r>
        <w:t>Flasks: $150</w:t>
      </w:r>
    </w:p>
    <w:p w14:paraId="61B64B59" w14:textId="1A1132D5" w:rsidR="00B14396" w:rsidRDefault="00B14396" w:rsidP="00805F28">
      <w:pPr>
        <w:pStyle w:val="NoSpacing"/>
        <w:ind w:firstLine="720"/>
      </w:pPr>
      <w:r>
        <w:t>Bottles: $250</w:t>
      </w:r>
    </w:p>
    <w:p w14:paraId="20D7C21D" w14:textId="4C2EB5AA" w:rsidR="00B14396" w:rsidRDefault="00B14396" w:rsidP="00B14396">
      <w:pPr>
        <w:pStyle w:val="NoSpacing"/>
        <w:ind w:firstLine="720"/>
      </w:pPr>
      <w:r>
        <w:t>Miscellaneous: $200</w:t>
      </w:r>
    </w:p>
    <w:p w14:paraId="7EA3AF47" w14:textId="77777777" w:rsidR="00B14396" w:rsidRDefault="00B14396" w:rsidP="00B14396">
      <w:pPr>
        <w:pStyle w:val="NoSpacing"/>
      </w:pPr>
    </w:p>
    <w:p w14:paraId="6888362B" w14:textId="2FC7431C" w:rsidR="00B14396" w:rsidRPr="00B24420" w:rsidRDefault="00B24420" w:rsidP="00B14396">
      <w:pPr>
        <w:pStyle w:val="NoSpacing"/>
        <w:rPr>
          <w:b/>
        </w:rPr>
      </w:pPr>
      <w:r>
        <w:rPr>
          <w:b/>
        </w:rPr>
        <w:t>Publication</w:t>
      </w:r>
    </w:p>
    <w:p w14:paraId="4F0DEC7D" w14:textId="77777777" w:rsidR="00B14396" w:rsidRPr="009B58AC" w:rsidRDefault="00B14396" w:rsidP="00805F28">
      <w:pPr>
        <w:pStyle w:val="NoSpacing"/>
        <w:ind w:firstLine="720"/>
      </w:pPr>
    </w:p>
    <w:p w14:paraId="52D58C22" w14:textId="18E457D9" w:rsidR="00C25533" w:rsidRDefault="00B24420" w:rsidP="00B36482">
      <w:pPr>
        <w:pStyle w:val="NoSpacing"/>
      </w:pPr>
      <w:r>
        <w:t>Costs associated with publishing one scientific article are included in Years 2 and 3 and are based on $2,000 per publication.</w:t>
      </w:r>
    </w:p>
    <w:p w14:paraId="3AD98D6A" w14:textId="77777777" w:rsidR="007B44A9" w:rsidRDefault="007B44A9" w:rsidP="00B36482">
      <w:pPr>
        <w:pStyle w:val="NoSpacing"/>
      </w:pPr>
    </w:p>
    <w:p w14:paraId="4712FDE3" w14:textId="76F7D3B1" w:rsidR="007B44A9" w:rsidRDefault="009F5038" w:rsidP="00B36482">
      <w:pPr>
        <w:pStyle w:val="NoSpacing"/>
        <w:rPr>
          <w:b/>
        </w:rPr>
      </w:pPr>
      <w:r>
        <w:rPr>
          <w:b/>
        </w:rPr>
        <w:t>Subawards/Contracts</w:t>
      </w:r>
    </w:p>
    <w:p w14:paraId="3EA2DA43" w14:textId="77777777" w:rsidR="007B44A9" w:rsidRDefault="007B44A9" w:rsidP="00B36482">
      <w:pPr>
        <w:pStyle w:val="NoSpacing"/>
        <w:rPr>
          <w:b/>
        </w:rPr>
      </w:pPr>
    </w:p>
    <w:p w14:paraId="65904574" w14:textId="5EAD4287" w:rsidR="007B44A9" w:rsidRDefault="007B44A9" w:rsidP="00B36482">
      <w:pPr>
        <w:pStyle w:val="NoSpacing"/>
      </w:pPr>
      <w:r>
        <w:lastRenderedPageBreak/>
        <w:t xml:space="preserve">Florida University: $50,000 per year will be </w:t>
      </w:r>
      <w:proofErr w:type="spellStart"/>
      <w:r>
        <w:t>sub</w:t>
      </w:r>
      <w:r w:rsidR="009F5038">
        <w:t>awarded</w:t>
      </w:r>
      <w:proofErr w:type="spellEnd"/>
      <w:r>
        <w:t xml:space="preserve"> to Florida University for Dr. Smarty Pants to perform science directly related to the programmatic aspects of this research.</w:t>
      </w:r>
    </w:p>
    <w:p w14:paraId="7A810754" w14:textId="77777777" w:rsidR="007B44A9" w:rsidRDefault="007B44A9" w:rsidP="00B36482">
      <w:pPr>
        <w:pStyle w:val="NoSpacing"/>
      </w:pPr>
    </w:p>
    <w:p w14:paraId="43030A0A" w14:textId="22B98BFD" w:rsidR="007B44A9" w:rsidRDefault="00BA158E" w:rsidP="00B36482">
      <w:pPr>
        <w:pStyle w:val="NoSpacing"/>
      </w:pPr>
      <w:r>
        <w:t>Sunshine State College: $5</w:t>
      </w:r>
      <w:r w:rsidR="007B44A9">
        <w:t>,00</w:t>
      </w:r>
      <w:r w:rsidR="009F5038">
        <w:t xml:space="preserve">0 per year will be </w:t>
      </w:r>
      <w:proofErr w:type="spellStart"/>
      <w:r w:rsidR="009F5038">
        <w:t>subawarded</w:t>
      </w:r>
      <w:proofErr w:type="spellEnd"/>
      <w:r w:rsidR="007B44A9">
        <w:t xml:space="preserve"> to Sunshine College for Dr. Pro </w:t>
      </w:r>
      <w:proofErr w:type="spellStart"/>
      <w:r w:rsidR="007B44A9">
        <w:t>Fessor</w:t>
      </w:r>
      <w:proofErr w:type="spellEnd"/>
      <w:r w:rsidR="007B44A9">
        <w:t xml:space="preserve"> to perform science directly related to the programmatic aspects of this research.</w:t>
      </w:r>
    </w:p>
    <w:p w14:paraId="41E7E550" w14:textId="77777777" w:rsidR="00357F7A" w:rsidRDefault="00357F7A" w:rsidP="00B36482">
      <w:pPr>
        <w:pStyle w:val="NoSpacing"/>
      </w:pPr>
    </w:p>
    <w:p w14:paraId="7855061A" w14:textId="5B40B2E7" w:rsidR="00357F7A" w:rsidRDefault="00357F7A" w:rsidP="00B36482">
      <w:pPr>
        <w:pStyle w:val="NoSpacing"/>
      </w:pPr>
      <w:r>
        <w:t>Science Corporat</w:t>
      </w:r>
      <w:r w:rsidR="009F5038">
        <w:t xml:space="preserve">ion, Inc.: A </w:t>
      </w:r>
      <w:r w:rsidR="00AD3333">
        <w:t>purchase order</w:t>
      </w:r>
      <w:bookmarkStart w:id="0" w:name="_GoBack"/>
      <w:bookmarkEnd w:id="0"/>
      <w:r w:rsidR="00B33209">
        <w:t xml:space="preserve"> will be issued </w:t>
      </w:r>
      <w:r>
        <w:t>to Science Corporation, Inc. to produce widgets that are related to the research. The widgets are based on their standard price of $1,000 per widget. The research project requires 30 widgets per year.</w:t>
      </w:r>
    </w:p>
    <w:p w14:paraId="771E2BD5" w14:textId="77777777" w:rsidR="00EF7D08" w:rsidRDefault="00EF7D08" w:rsidP="00B36482">
      <w:pPr>
        <w:pStyle w:val="NoSpacing"/>
      </w:pPr>
    </w:p>
    <w:p w14:paraId="5B84784C" w14:textId="3E464F69" w:rsidR="00EF7D08" w:rsidRDefault="00EF7D08" w:rsidP="00B36482">
      <w:pPr>
        <w:pStyle w:val="NoSpacing"/>
        <w:rPr>
          <w:b/>
        </w:rPr>
      </w:pPr>
      <w:r>
        <w:rPr>
          <w:b/>
        </w:rPr>
        <w:t>Indirect Costs</w:t>
      </w:r>
    </w:p>
    <w:p w14:paraId="0407E76F" w14:textId="77777777" w:rsidR="00EF7D08" w:rsidRDefault="00EF7D08" w:rsidP="00B36482">
      <w:pPr>
        <w:pStyle w:val="NoSpacing"/>
        <w:rPr>
          <w:b/>
        </w:rPr>
      </w:pPr>
    </w:p>
    <w:p w14:paraId="2A6150ED" w14:textId="587320AD" w:rsidR="00EF7D08" w:rsidRPr="00EF7D08" w:rsidRDefault="00EF7D08" w:rsidP="00B36482">
      <w:pPr>
        <w:pStyle w:val="NoSpacing"/>
      </w:pPr>
      <w:r>
        <w:t>The university’s federally negot</w:t>
      </w:r>
      <w:r w:rsidR="004E4526">
        <w:t xml:space="preserve">iated indirect cost rate </w:t>
      </w:r>
      <w:r>
        <w:t>for on-campus research based on modified total direct costs</w:t>
      </w:r>
      <w:r w:rsidR="004E4526">
        <w:t xml:space="preserve"> is being applied</w:t>
      </w:r>
      <w:r>
        <w:t>.</w:t>
      </w:r>
    </w:p>
    <w:p w14:paraId="00CFAB28" w14:textId="77777777" w:rsidR="005E65ED" w:rsidRDefault="005E65ED" w:rsidP="00B36482">
      <w:pPr>
        <w:pStyle w:val="NoSpacing"/>
      </w:pPr>
    </w:p>
    <w:p w14:paraId="39E5BC41" w14:textId="77777777" w:rsidR="005E65ED" w:rsidRDefault="005E65ED" w:rsidP="00B36482">
      <w:pPr>
        <w:pStyle w:val="NoSpacing"/>
      </w:pPr>
    </w:p>
    <w:p w14:paraId="656DDD06" w14:textId="77777777" w:rsidR="00C25533" w:rsidRPr="00AA2013" w:rsidRDefault="00C25533" w:rsidP="00B36482">
      <w:pPr>
        <w:pStyle w:val="NoSpacing"/>
      </w:pPr>
    </w:p>
    <w:sectPr w:rsidR="00C25533" w:rsidRPr="00AA2013" w:rsidSect="00B3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9DBE4" w14:textId="77777777" w:rsidR="00D70427" w:rsidRDefault="00D70427" w:rsidP="00AA2013">
      <w:r>
        <w:separator/>
      </w:r>
    </w:p>
  </w:endnote>
  <w:endnote w:type="continuationSeparator" w:id="0">
    <w:p w14:paraId="27494F0A" w14:textId="77777777" w:rsidR="00D70427" w:rsidRDefault="00D70427" w:rsidP="00AA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3B845" w14:textId="77777777" w:rsidR="00D70427" w:rsidRDefault="00D70427" w:rsidP="00AA2013">
      <w:r>
        <w:separator/>
      </w:r>
    </w:p>
  </w:footnote>
  <w:footnote w:type="continuationSeparator" w:id="0">
    <w:p w14:paraId="6276AE94" w14:textId="77777777" w:rsidR="00D70427" w:rsidRDefault="00D70427" w:rsidP="00AA2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82"/>
    <w:rsid w:val="00091940"/>
    <w:rsid w:val="00103B77"/>
    <w:rsid w:val="00153137"/>
    <w:rsid w:val="00177DA1"/>
    <w:rsid w:val="002C58F5"/>
    <w:rsid w:val="002F029A"/>
    <w:rsid w:val="00357F7A"/>
    <w:rsid w:val="003725B0"/>
    <w:rsid w:val="003D7D8F"/>
    <w:rsid w:val="00480D44"/>
    <w:rsid w:val="004E4526"/>
    <w:rsid w:val="00546598"/>
    <w:rsid w:val="00555E0B"/>
    <w:rsid w:val="00590E95"/>
    <w:rsid w:val="005E65ED"/>
    <w:rsid w:val="005E6CD5"/>
    <w:rsid w:val="00703162"/>
    <w:rsid w:val="007B44A9"/>
    <w:rsid w:val="00805F28"/>
    <w:rsid w:val="00817EE7"/>
    <w:rsid w:val="008E53AF"/>
    <w:rsid w:val="008F12D1"/>
    <w:rsid w:val="00967987"/>
    <w:rsid w:val="009B58AC"/>
    <w:rsid w:val="009D2587"/>
    <w:rsid w:val="009F1769"/>
    <w:rsid w:val="009F5038"/>
    <w:rsid w:val="00A146BD"/>
    <w:rsid w:val="00A228F3"/>
    <w:rsid w:val="00A66D0D"/>
    <w:rsid w:val="00AA2013"/>
    <w:rsid w:val="00AD3333"/>
    <w:rsid w:val="00B14396"/>
    <w:rsid w:val="00B24420"/>
    <w:rsid w:val="00B33209"/>
    <w:rsid w:val="00B36482"/>
    <w:rsid w:val="00BA158E"/>
    <w:rsid w:val="00BE6957"/>
    <w:rsid w:val="00C25533"/>
    <w:rsid w:val="00C439A8"/>
    <w:rsid w:val="00CD58EC"/>
    <w:rsid w:val="00D13F70"/>
    <w:rsid w:val="00D665A9"/>
    <w:rsid w:val="00D70427"/>
    <w:rsid w:val="00DE7AE4"/>
    <w:rsid w:val="00EA18E6"/>
    <w:rsid w:val="00EF7D08"/>
    <w:rsid w:val="00F00966"/>
    <w:rsid w:val="00F56364"/>
    <w:rsid w:val="00FA1552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190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482"/>
  </w:style>
  <w:style w:type="paragraph" w:styleId="Header">
    <w:name w:val="header"/>
    <w:basedOn w:val="Normal"/>
    <w:link w:val="HeaderChar"/>
    <w:uiPriority w:val="99"/>
    <w:unhideWhenUsed/>
    <w:rsid w:val="00AA20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013"/>
  </w:style>
  <w:style w:type="paragraph" w:styleId="Footer">
    <w:name w:val="footer"/>
    <w:basedOn w:val="Normal"/>
    <w:link w:val="FooterChar"/>
    <w:uiPriority w:val="99"/>
    <w:unhideWhenUsed/>
    <w:rsid w:val="00AA20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482"/>
  </w:style>
  <w:style w:type="paragraph" w:styleId="Header">
    <w:name w:val="header"/>
    <w:basedOn w:val="Normal"/>
    <w:link w:val="HeaderChar"/>
    <w:uiPriority w:val="99"/>
    <w:unhideWhenUsed/>
    <w:rsid w:val="00AA20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013"/>
  </w:style>
  <w:style w:type="paragraph" w:styleId="Footer">
    <w:name w:val="footer"/>
    <w:basedOn w:val="Normal"/>
    <w:link w:val="FooterChar"/>
    <w:uiPriority w:val="99"/>
    <w:unhideWhenUsed/>
    <w:rsid w:val="00AA20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Florida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Bauer</dc:creator>
  <cp:lastModifiedBy>Bauer, Kenneth (Trey)</cp:lastModifiedBy>
  <cp:revision>2</cp:revision>
  <dcterms:created xsi:type="dcterms:W3CDTF">2015-05-13T15:36:00Z</dcterms:created>
  <dcterms:modified xsi:type="dcterms:W3CDTF">2015-05-13T15:36:00Z</dcterms:modified>
</cp:coreProperties>
</file>